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ACC04" w14:textId="77777777" w:rsidR="00492270" w:rsidRDefault="00492270" w:rsidP="00492270">
      <w:pPr>
        <w:jc w:val="center"/>
        <w:rPr>
          <w:b/>
          <w:sz w:val="28"/>
          <w:szCs w:val="28"/>
          <w:lang w:val="kk-KZ" w:eastAsia="ar-SA"/>
        </w:rPr>
      </w:pPr>
      <w:r w:rsidRPr="00492270">
        <w:rPr>
          <w:b/>
          <w:sz w:val="28"/>
          <w:szCs w:val="28"/>
          <w:lang w:val="kk-KZ" w:eastAsia="ar-SA"/>
        </w:rPr>
        <w:t>Д</w:t>
      </w:r>
      <w:r>
        <w:rPr>
          <w:b/>
          <w:sz w:val="28"/>
          <w:szCs w:val="28"/>
          <w:lang w:val="kk-KZ" w:eastAsia="ar-SA"/>
        </w:rPr>
        <w:t xml:space="preserve">әріс </w:t>
      </w:r>
      <w:r>
        <w:rPr>
          <w:b/>
          <w:sz w:val="28"/>
          <w:szCs w:val="28"/>
          <w:lang w:eastAsia="ar-SA"/>
        </w:rPr>
        <w:t>№</w:t>
      </w:r>
      <w:r w:rsidRPr="00492270">
        <w:rPr>
          <w:b/>
          <w:sz w:val="28"/>
          <w:szCs w:val="28"/>
          <w:lang w:val="kk-KZ" w:eastAsia="ar-SA"/>
        </w:rPr>
        <w:t>15</w:t>
      </w:r>
    </w:p>
    <w:p w14:paraId="0854770F" w14:textId="77777777" w:rsidR="00492270" w:rsidRDefault="00492270" w:rsidP="00492270">
      <w:pPr>
        <w:jc w:val="center"/>
        <w:rPr>
          <w:b/>
          <w:bCs/>
          <w:sz w:val="28"/>
          <w:szCs w:val="28"/>
          <w:lang w:val="kk-KZ" w:eastAsia="ar-SA"/>
        </w:rPr>
      </w:pPr>
      <w:r w:rsidRPr="00492270">
        <w:rPr>
          <w:b/>
          <w:sz w:val="28"/>
          <w:szCs w:val="28"/>
          <w:lang w:val="kk-KZ" w:eastAsia="ar-SA"/>
        </w:rPr>
        <w:t xml:space="preserve"> </w:t>
      </w:r>
      <w:r w:rsidRPr="00492270">
        <w:rPr>
          <w:b/>
          <w:bCs/>
          <w:sz w:val="28"/>
          <w:szCs w:val="28"/>
          <w:lang w:val="kk-KZ" w:eastAsia="ar-SA"/>
        </w:rPr>
        <w:t xml:space="preserve">БҰҰ адам құқықтары туралы заңы мен талаптар. </w:t>
      </w:r>
    </w:p>
    <w:p w14:paraId="62E8CC37" w14:textId="6A819595" w:rsidR="00492270" w:rsidRPr="00492270" w:rsidRDefault="00492270" w:rsidP="00492270">
      <w:pPr>
        <w:jc w:val="center"/>
        <w:rPr>
          <w:b/>
          <w:bCs/>
          <w:sz w:val="28"/>
          <w:szCs w:val="28"/>
          <w:lang w:val="kk-KZ" w:eastAsia="ar-SA"/>
        </w:rPr>
      </w:pPr>
      <w:r w:rsidRPr="00492270">
        <w:rPr>
          <w:b/>
          <w:bCs/>
          <w:sz w:val="28"/>
          <w:szCs w:val="28"/>
          <w:lang w:val="kk-KZ" w:eastAsia="ar-SA"/>
        </w:rPr>
        <w:t>БҰҰ  гуманитарлық құқық жайындағы жұмысы</w:t>
      </w:r>
    </w:p>
    <w:p w14:paraId="4367531B" w14:textId="77777777" w:rsidR="00492270" w:rsidRPr="00492270" w:rsidRDefault="00492270">
      <w:pPr>
        <w:rPr>
          <w:bCs/>
          <w:sz w:val="28"/>
          <w:szCs w:val="28"/>
          <w:lang w:val="kk-KZ" w:eastAsia="ru-RU"/>
        </w:rPr>
      </w:pPr>
    </w:p>
    <w:p w14:paraId="149F831E" w14:textId="5125B461" w:rsidR="00492270" w:rsidRDefault="00492270">
      <w:pPr>
        <w:rPr>
          <w:sz w:val="28"/>
          <w:szCs w:val="28"/>
          <w:lang w:val="kk-KZ"/>
        </w:rPr>
      </w:pPr>
      <w:r w:rsidRPr="00492270">
        <w:rPr>
          <w:sz w:val="28"/>
          <w:szCs w:val="28"/>
          <w:lang w:val="kk-KZ"/>
        </w:rPr>
        <w:t xml:space="preserve">Адам құқықтарын қорғау қызметін жүзеге асырғанда, біз ұлттық және халықаралық деңгейде мүлдем әртүрлі тетіктер мен рәсімдерді пайдаланамыз. Елдегі жүйелік өзгерістерге қол жеткізуге бағытталған үкіметтік емес ұйымдар Біріккен Ұлттар Ұйымы жүйесіндегі адам құқықтарын қорғау тетіктерін белсенді қолданады. Осы тетіктерді қолдану мемлекеттің адам құқықтары саласындағы саясатына әсер еті жолдарының бірі болып табылады және үкіметтік емес ұйымдарға елдегі адам құқықтары жағдайына алаңдаушылығын халықаралық құқықтық органдарға жеткізу үшін таптырмас мүмкіндішін береді. БҰҰ жүйесінде адам құқықтарын қорғау екі негізгі бөлікке бөлуге болады: а) БҰҰ жарғылық органдары шеңберінде істейтін тетіктер; және б) адам құқықтарын келісімдік (конвенциялық) қорғау тетіктері. Адам құқықтары бойынша жарғылық органдарының ерекшелігі осы тетіктердің БҰҰ жарғысы негізінде құрылып, БҰҰ мүше барлық елдерге таралатынында. Қайсыбңр ел үшін тетіктің жүмыс істеуіне халықаралық құжатты ратификациялаудың керегі жоқ. Бұл азаматтық қоғамға осы тетіктерді пайдалануға кең мүмкіндік береді. Келісімдік (конвенциялық) адам құқықтарын қорғау тетіктеріндегі талаптар қатаңдау болып табылады, сондықтан мемлекет оларды орындау міндеттерін алу үшін келісімді немесе конвенцияны ратификациялау тиіс. Конвенциялық тетіктермен жұмыс істегенде еліңіздің сол құжатқа мүше екеніне көз жеткізіңіз. Осы басылым БҰҰ адам құқықтарын қорғау жүйесімен жаңа танысқандарға және барлық құжаттар, тетіктер мен рәсімдерді білуге тырысқандарға арналған. Онда БҰҰ жүйесіндегі барлық негізгі тетіктерге қысқаша шолу жасалып, үкіметтік емес ұйымдар үшін мүмкіндіктер мен оқуға болатын материалдардың тізімі келтіріледі. Біз сонымен бірге, мынадай басылымдармен танысуға кеңес береміз. Онда төменде келтірілген адам құқықтарын қорғау тетіктердің бәрі нақтырақ жазылған: БҰҰ адам құқықтары саласындағы бағдарлама бойынша қалай жұмыс істеуге болады (азаматтық қоғам үшін анықтама). http://www.ohchr.org/EN/AboutUs/CivilSociety/Documents/Handbook_ru.pdf Азаматтық қоғам үшін Біріккен Ұлттар Ұйымының келісімдік органдары тетіктерін пайдалану бойынша Нұсқау http://notabene.tj/documents/publication/04_Rukovodstvo_dlya_grajdanskogo_obshe stva.pdf 2 БҰҰ АДАМ ҚҰҚЫҚТАРЫ БОЙЫНША КЕҢЕСІ ШЕҢБЕРІНДЕ АДАМ ҚҰҚЫҚТАРЫН ҚОРҒАУ ТЕТІКТЕРІ Адам құқықтары бойынша Жарғылық органдары арасында Адам құқықтары бойынша Кеңес ерекше оорын алады. Бұл Бас Ассамблеяның 60/251-резолюциясына сәйкес құрылған көмекші орган болып табылатын орган. Ол бұрын Адам құқықтары бойынша Комиссияға жүкітелген мандаттар, тетіктер, функциялар мен құзіреттердің орнына болды немесе оларды өзіне қабылдап алды. Кеңес құрамына 47 БҰҰ мүше елдер қосылған. Кеіес адам </w:t>
      </w:r>
      <w:r w:rsidRPr="00492270">
        <w:rPr>
          <w:sz w:val="28"/>
          <w:szCs w:val="28"/>
          <w:lang w:val="kk-KZ"/>
        </w:rPr>
        <w:lastRenderedPageBreak/>
        <w:t xml:space="preserve">құқықтарын бұзуға, оның іщінде дөрекі және жүйелі түріндегі бұзушылықтарға байланысты жағдайларды қарап, олар бойынша өз кеңестерін береді. Ол сонымен бірге Біріккен Ұлттар Ұйымы жүйусінің шеңберінде адам құқықтарына қатысты қызметті нәтижелі үйлестіру мен біріктіруді қолдауы тиіс. Универсалдық мерзімдік шолу (УМШ) УМШ – бұл 2006 ж. 5 наурызда БҰҰ Бас Ассамблеяның 60/251-резолюциясына сәйкес құрылған Адам құқықтары бойынша Кеңестің тетігі. Оның шеңберінде әр төрт жыл сайын БҰҰ мүше мемлекеттерінің адам құқықтары саласындағы міндеттемелерін орындауына мерзімдік шолу жасалады. УМШ арқасында бүкіл жүние жүзі бойынша адам құқықтары саласындағы ең үздік тәжірибе алмасу өтеді. Шолу жасалғанда тиісті мемлекеттің ақпараты (ұлттық баяндама), БҰҰ құрылымдары мен басқа мүдделі жақтар берген ақпарат, оның ішінде үкіметтік емес ұйымдар мен ұлттық құқық қорғау мекемелерінің ақпараты сарапталады. Шолу өткізілгеннен кейін қаралатын мемлекет пен БҰҰ АҚКЖК қолдауымен қорытынды құжат дайындалады. Оған мемлекеттердің шолу кезінде қойған сұрақтар, жасаған қорытындылары мен кеңестер енгізіліп, сонымен бірге, қаралатын мемлекеттің жауаптары келтіріледі. Тетіктің ерекшелігі мемлекеттің қайсыбір кеңесті қабылдауға немесе одан бас тартуға мүмкіндіктің бар болуында. Бұл мемлекет кеңесті қабылдаған жағдайда оның жүзеге асыруға бар күшін салады деп ойлауға негіз береді. Сонымен бірге, Адам құқықтары бойынша Кеңестің қатысушы мемлекеттері қабылданбаған кеңестерге қайта оралып, келесі шолу циклінде жекелеген адам құқықтары мәселелерін көтере алады. ҮЕҰ үшін қандай мүмкіндіктер бар: Ұлттық баяндама дайандау және УМШ кеңестерін орындау барысында мемлекет азаматтық қоғаммен кеңесу тиіс. ҮЕҰ ұлттық баяндаманы талқылау процесіне, сонымен бірге кеңестерді орындау бойынша ұлттық әрекет жоспарын дайындауға белсенді қатыса алады. 3 </w:t>
      </w:r>
      <w:r w:rsidRPr="00492270">
        <w:rPr>
          <w:sz w:val="28"/>
          <w:szCs w:val="28"/>
        </w:rPr>
        <w:sym w:font="Symbol" w:char="F0B7"/>
      </w:r>
      <w:r w:rsidRPr="00492270">
        <w:rPr>
          <w:sz w:val="28"/>
          <w:szCs w:val="28"/>
          <w:lang w:val="kk-KZ"/>
        </w:rPr>
        <w:t xml:space="preserve"> ҮЕҰ өздері немесе азаматтық қоғамның басқа институттарымен бірлесіп, өз баяндамасын жібере алады (5 бет тақырып бойынша баяндамаға және 10 бет коалиция атынан баяндама көлеміне рұқсат етіледі). Баяндамада жеке адам құқықтары туралы ақпарат немесе мемлекет үшін кешенді кеңестер берілуі мүмкін. </w:t>
      </w:r>
      <w:r w:rsidRPr="00492270">
        <w:rPr>
          <w:sz w:val="28"/>
          <w:szCs w:val="28"/>
        </w:rPr>
        <w:sym w:font="Symbol" w:char="F0B7"/>
      </w:r>
      <w:r w:rsidRPr="00492270">
        <w:rPr>
          <w:sz w:val="28"/>
          <w:szCs w:val="28"/>
          <w:lang w:val="kk-KZ"/>
        </w:rPr>
        <w:t xml:space="preserve"> ҮЕҰ өз кеңестерін алға бастыру үшін Адам құқықтары бойынша Кеңеске мүше мемлекеттердің елшіліктеріне өз елінде немесе Женевада брифингтер өткізе алады. </w:t>
      </w:r>
      <w:r w:rsidRPr="00492270">
        <w:rPr>
          <w:sz w:val="28"/>
          <w:szCs w:val="28"/>
        </w:rPr>
        <w:sym w:font="Symbol" w:char="F0B7"/>
      </w:r>
      <w:r w:rsidRPr="00492270">
        <w:rPr>
          <w:sz w:val="28"/>
          <w:szCs w:val="28"/>
          <w:lang w:val="kk-KZ"/>
        </w:rPr>
        <w:t xml:space="preserve"> Кеңестер қабылданғаннан кейін УМШ кеңестерін жүзеге асыру жалпы немесе жекелеген құқықтар бойынша орындау процесін бақылай алады.</w:t>
      </w:r>
    </w:p>
    <w:p w14:paraId="144838BF" w14:textId="77777777" w:rsidR="00492270" w:rsidRDefault="00492270">
      <w:pPr>
        <w:rPr>
          <w:sz w:val="28"/>
          <w:szCs w:val="28"/>
          <w:lang w:val="kk-KZ"/>
        </w:rPr>
      </w:pPr>
    </w:p>
    <w:p w14:paraId="200A01BD" w14:textId="77777777" w:rsidR="00492270" w:rsidRPr="00492270" w:rsidRDefault="00492270">
      <w:pPr>
        <w:rPr>
          <w:b/>
          <w:sz w:val="28"/>
          <w:szCs w:val="28"/>
          <w:lang w:val="kk-KZ"/>
        </w:rPr>
      </w:pPr>
    </w:p>
    <w:p w14:paraId="26DD151C" w14:textId="77777777" w:rsidR="00492270" w:rsidRPr="00492270" w:rsidRDefault="00492270" w:rsidP="00492270">
      <w:pPr>
        <w:rPr>
          <w:b/>
          <w:bCs/>
          <w:sz w:val="28"/>
          <w:szCs w:val="28"/>
          <w:lang w:val="kk-KZ" w:eastAsia="ru-RU"/>
        </w:rPr>
      </w:pPr>
      <w:r w:rsidRPr="00492270">
        <w:rPr>
          <w:b/>
          <w:sz w:val="28"/>
          <w:szCs w:val="28"/>
          <w:lang w:val="kk-KZ"/>
        </w:rPr>
        <w:t xml:space="preserve">ПС.15. </w:t>
      </w:r>
      <w:r w:rsidRPr="00492270">
        <w:rPr>
          <w:b/>
          <w:bCs/>
          <w:sz w:val="28"/>
          <w:szCs w:val="28"/>
          <w:lang w:val="kk-KZ" w:eastAsia="ru-RU"/>
        </w:rPr>
        <w:t>Дәріс бойынша ақпарат қарастыру.</w:t>
      </w:r>
    </w:p>
    <w:p w14:paraId="59FF012E" w14:textId="77777777" w:rsidR="00492270" w:rsidRPr="00492270" w:rsidRDefault="00492270">
      <w:pPr>
        <w:rPr>
          <w:sz w:val="28"/>
          <w:szCs w:val="28"/>
          <w:lang w:val="kk-KZ"/>
        </w:rPr>
      </w:pPr>
    </w:p>
    <w:sectPr w:rsidR="00492270" w:rsidRPr="00492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70"/>
    <w:rsid w:val="0049227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E74C"/>
  <w15:chartTrackingRefBased/>
  <w15:docId w15:val="{E7832F19-A11C-4F86-A253-A15B0A60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270"/>
    <w:pPr>
      <w:spacing w:after="0" w:line="240" w:lineRule="auto"/>
    </w:pPr>
    <w:rPr>
      <w:rFonts w:ascii="Times New Roman" w:eastAsia="Times New Roman" w:hAnsi="Times New Roman" w:cs="Times New Roman"/>
      <w:kern w:val="0"/>
      <w:sz w:val="24"/>
      <w:szCs w:val="24"/>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0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1</cp:revision>
  <dcterms:created xsi:type="dcterms:W3CDTF">2024-05-02T01:25:00Z</dcterms:created>
  <dcterms:modified xsi:type="dcterms:W3CDTF">2024-05-02T01:31:00Z</dcterms:modified>
</cp:coreProperties>
</file>